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1F9A" w:rsidRDefault="50C6993F" w:rsidP="50C6993F">
      <w:pPr>
        <w:jc w:val="center"/>
      </w:pPr>
      <w:r>
        <w:rPr>
          <w:noProof/>
        </w:rPr>
        <w:drawing>
          <wp:inline distT="0" distB="0" distL="0" distR="0" wp14:anchorId="7D2940AE" wp14:editId="33ADA936">
            <wp:extent cx="1325880" cy="1188908"/>
            <wp:effectExtent l="0" t="0" r="0" b="0"/>
            <wp:docPr id="1" name="Picture 1"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ignton Place Leadership Board logo"/>
                    <pic:cNvPicPr/>
                  </pic:nvPicPr>
                  <pic:blipFill>
                    <a:blip r:embed="rId11"/>
                    <a:stretch>
                      <a:fillRect/>
                    </a:stretch>
                  </pic:blipFill>
                  <pic:spPr>
                    <a:xfrm>
                      <a:off x="0" y="0"/>
                      <a:ext cx="1325880" cy="1188908"/>
                    </a:xfrm>
                    <a:prstGeom prst="rect">
                      <a:avLst/>
                    </a:prstGeom>
                  </pic:spPr>
                </pic:pic>
              </a:graphicData>
            </a:graphic>
          </wp:inline>
        </w:drawing>
      </w:r>
    </w:p>
    <w:p w14:paraId="162D4B3C" w14:textId="77777777" w:rsidR="00F61F9A" w:rsidRDefault="001150DF">
      <w:pPr>
        <w:spacing w:before="1600"/>
        <w:jc w:val="center"/>
      </w:pPr>
      <w:r>
        <w:rPr>
          <w:b/>
          <w:color w:val="2F75B5"/>
          <w:sz w:val="30"/>
        </w:rPr>
        <w:t>PAIGNTON</w:t>
      </w:r>
    </w:p>
    <w:p w14:paraId="6AD64B30" w14:textId="77777777" w:rsidR="00F61F9A" w:rsidRDefault="001150DF">
      <w:pPr>
        <w:pStyle w:val="Title"/>
        <w:jc w:val="center"/>
      </w:pPr>
      <w:r>
        <w:t>Paignton Pride in Place Programme</w:t>
      </w:r>
    </w:p>
    <w:p w14:paraId="3DA963D1" w14:textId="77777777" w:rsidR="00F61F9A" w:rsidRDefault="001150DF">
      <w:pPr>
        <w:jc w:val="center"/>
      </w:pPr>
      <w:r>
        <w:rPr>
          <w:color w:val="666666"/>
          <w:sz w:val="30"/>
        </w:rPr>
        <w:t>10-year Vision</w:t>
      </w:r>
    </w:p>
    <w:p w14:paraId="537AB0C5" w14:textId="77777777" w:rsidR="00F61F9A" w:rsidRDefault="001150DF">
      <w:pPr>
        <w:spacing w:before="600"/>
        <w:jc w:val="center"/>
      </w:pPr>
      <w:r>
        <w:rPr>
          <w:b/>
          <w:color w:val="1F4E79"/>
          <w:sz w:val="22"/>
        </w:rPr>
        <w:t>Working draft for Board and community testing | 30 September 2026</w:t>
      </w:r>
    </w:p>
    <w:p w14:paraId="0A37501D" w14:textId="77777777" w:rsidR="00F61F9A" w:rsidRDefault="00F61F9A">
      <w:pPr>
        <w:spacing w:before="2400"/>
      </w:pPr>
    </w:p>
    <w:p w14:paraId="60A0E671" w14:textId="77777777" w:rsidR="00F61F9A" w:rsidRDefault="001150DF">
      <w:pPr>
        <w:pStyle w:val="Callout"/>
        <w:jc w:val="center"/>
      </w:pPr>
      <w:r>
        <w:t xml:space="preserve">This document reports emerging evidence. It is not a final investment plan and does not commit the Board to </w:t>
      </w:r>
      <w:proofErr w:type="gramStart"/>
      <w:r>
        <w:t>particular projects</w:t>
      </w:r>
      <w:proofErr w:type="gramEnd"/>
      <w:r>
        <w:t>.</w:t>
      </w:r>
    </w:p>
    <w:p w14:paraId="5DAB6C7B" w14:textId="77777777" w:rsidR="00F61F9A" w:rsidRDefault="001150DF">
      <w:r>
        <w:br w:type="page"/>
      </w:r>
    </w:p>
    <w:tbl>
      <w:tblPr>
        <w:tblW w:w="0" w:type="auto"/>
        <w:jc w:val="center"/>
        <w:tblLayout w:type="fixed"/>
        <w:tblLook w:val="04A0" w:firstRow="1" w:lastRow="0" w:firstColumn="1" w:lastColumn="0" w:noHBand="0" w:noVBand="1"/>
      </w:tblPr>
      <w:tblGrid>
        <w:gridCol w:w="9936"/>
      </w:tblGrid>
      <w:tr w:rsidR="00F61F9A" w14:paraId="10A3A960" w14:textId="77777777" w:rsidTr="50C6993F">
        <w:trPr>
          <w:jc w:val="center"/>
        </w:trPr>
        <w:tc>
          <w:tcPr>
            <w:tcW w:w="9936" w:type="dxa"/>
            <w:shd w:val="clear" w:color="auto" w:fill="FFF2CC"/>
            <w:tcMar>
              <w:top w:w="140" w:type="dxa"/>
              <w:left w:w="160" w:type="dxa"/>
              <w:bottom w:w="140" w:type="dxa"/>
              <w:right w:w="160" w:type="dxa"/>
            </w:tcMar>
          </w:tcPr>
          <w:p w14:paraId="3916DA6A" w14:textId="316F9B6E" w:rsidR="00F61F9A" w:rsidRDefault="50C6993F" w:rsidP="50C6993F">
            <w:r w:rsidRPr="50C6993F">
              <w:rPr>
                <w:b/>
                <w:bCs/>
                <w:color w:val="1F4E79"/>
                <w:sz w:val="22"/>
              </w:rPr>
              <w:lastRenderedPageBreak/>
              <w:t>Status of this draft</w:t>
            </w:r>
            <w:r w:rsidR="001150DF">
              <w:br/>
            </w:r>
            <w:r>
              <w:t xml:space="preserve">This working draft uses the engagement evidence currently available. It is based on 301 online responses (296 </w:t>
            </w:r>
            <w:proofErr w:type="gramStart"/>
            <w:r>
              <w:t>valid)  158</w:t>
            </w:r>
            <w:proofErr w:type="gramEnd"/>
            <w:r>
              <w:t xml:space="preserve"> paper questionnaires and Paignton Academy engagement work with 11 students. The board should treat this information as provisional only</w:t>
            </w:r>
          </w:p>
        </w:tc>
      </w:tr>
    </w:tbl>
    <w:p w14:paraId="02EB378F" w14:textId="77777777" w:rsidR="00F61F9A" w:rsidRDefault="00F61F9A">
      <w:pPr>
        <w:spacing w:after="0"/>
      </w:pPr>
    </w:p>
    <w:p w14:paraId="384A0911" w14:textId="77777777" w:rsidR="00F61F9A" w:rsidRDefault="001150DF">
      <w:pPr>
        <w:pStyle w:val="Heading1"/>
      </w:pPr>
      <w:r>
        <w:t>Section 1: The 10-year Vision</w:t>
      </w:r>
    </w:p>
    <w:p w14:paraId="1309F531" w14:textId="77777777" w:rsidR="00F61F9A" w:rsidRDefault="001150DF">
      <w:r>
        <w:t>Over the next ten years, people want this part of Paignton to feel cared for, connected and full of opportunity. The vision is for neighbourhoods where children and young people have safe places to go, residents can meet and take part, streets and public spaces are clean and welcoming, and people can move around safely and easily.</w:t>
      </w:r>
    </w:p>
    <w:p w14:paraId="768197B0" w14:textId="77777777" w:rsidR="00F61F9A" w:rsidRDefault="001150DF">
      <w:r>
        <w:t>The area will build on what residents already value: strong community spirit, trusted local organisations, established neighbourhoods, green spaces, countryside and links to the coast. Investment should strengthen these assets rather than replace them. It should help each neighbourhood keep its identity while ensuring that no community feels overlooked.</w:t>
      </w:r>
    </w:p>
    <w:p w14:paraId="22FBC10C" w14:textId="77777777" w:rsidR="00F61F9A" w:rsidRDefault="001150DF">
      <w:r>
        <w:t>Life should feel different in practical ways. Residents should see better places to play, exercise and meet. They should feel safer outdoors. Routes, crossings and transport should work better for people of different ages and abilities. Community groups should have the confidence, facilities and partnerships needed to provide activities and support over the long term.</w:t>
      </w:r>
    </w:p>
    <w:p w14:paraId="73C074ED" w14:textId="77777777" w:rsidR="00F61F9A" w:rsidRDefault="001150DF">
      <w:r>
        <w:t>Success will not be measured only by completed projects. It will also mean stronger trust, visible community involvement and a clear link between what residents say and what the Board decides. The programme will learn and adapt over time, with regular opportunities for residents to review progress and shape what happens next.</w:t>
      </w:r>
    </w:p>
    <w:p w14:paraId="4428DC5C" w14:textId="77777777" w:rsidR="00F61F9A" w:rsidRDefault="001150DF">
      <w:pPr>
        <w:pStyle w:val="Heading1"/>
      </w:pPr>
      <w:r>
        <w:t>Section 2: Place and People</w:t>
      </w:r>
    </w:p>
    <w:p w14:paraId="410CD94D" w14:textId="77777777" w:rsidR="00F61F9A" w:rsidRDefault="001150DF">
      <w:r>
        <w:t>The Paignton Pride in Place area covers neighbourhoods in Blatchcombe and Blagdon, including Kings Ash, Foxhole, Great Parks, Queen Elizabeth Drive, Collaton St Mary, White Rock and other communities in the western part of Paignton. The area includes established estates, newer housing, village and semi-rural communities, valued green space, schools, local shops, community centres and important transport routes.</w:t>
      </w:r>
    </w:p>
    <w:p w14:paraId="53802075" w14:textId="77777777" w:rsidR="00F61F9A" w:rsidRDefault="001150DF">
      <w:r>
        <w:t>The engagement shows both shared concerns and clear local differences. Foxhole and Great Parks have active community organisations and strong neighbourhood identity. Collaton St Mary residents emphasise village character, countryside, development pressure, traffic and the need for a stronger community heart. White Rock and Berry Acres residents also raise the need for community space, play, safety and local facilities.</w:t>
      </w:r>
    </w:p>
    <w:p w14:paraId="6696A169" w14:textId="77777777" w:rsidR="00F61F9A" w:rsidRDefault="001150DF">
      <w:r>
        <w:t>Across the area, residents value neighbours, volunteers, schools, community centres, local services, parks, countryside and access to the wider coast. At the same time, people describe barriers including transport, traffic, unsafe routes, poor maintenance, antisocial behaviour, limited youth provision, isolation and uneven access to facilities.</w:t>
      </w:r>
    </w:p>
    <w:tbl>
      <w:tblPr>
        <w:tblW w:w="0" w:type="auto"/>
        <w:jc w:val="center"/>
        <w:tblLayout w:type="fixed"/>
        <w:tblLook w:val="04A0" w:firstRow="1" w:lastRow="0" w:firstColumn="1" w:lastColumn="0" w:noHBand="0" w:noVBand="1"/>
      </w:tblPr>
      <w:tblGrid>
        <w:gridCol w:w="9936"/>
      </w:tblGrid>
      <w:tr w:rsidR="00F61F9A" w14:paraId="0DD01519" w14:textId="77777777">
        <w:trPr>
          <w:jc w:val="center"/>
        </w:trPr>
        <w:tc>
          <w:tcPr>
            <w:tcW w:w="9936" w:type="dxa"/>
            <w:shd w:val="clear" w:color="auto" w:fill="E2F0D9"/>
            <w:tcMar>
              <w:top w:w="140" w:type="dxa"/>
              <w:left w:w="160" w:type="dxa"/>
              <w:bottom w:w="140" w:type="dxa"/>
              <w:right w:w="160" w:type="dxa"/>
            </w:tcMar>
          </w:tcPr>
          <w:p w14:paraId="286B7690" w14:textId="77777777" w:rsidR="00F61F9A" w:rsidRDefault="001150DF">
            <w:r>
              <w:rPr>
                <w:b/>
                <w:color w:val="1F4E79"/>
                <w:sz w:val="22"/>
              </w:rPr>
              <w:t>Approved boundary map</w:t>
            </w:r>
            <w:r>
              <w:rPr>
                <w:b/>
                <w:color w:val="1F4E79"/>
                <w:sz w:val="22"/>
              </w:rPr>
              <w:br/>
            </w:r>
            <w:r>
              <w:t>[Information required: insert the approved geographic boundary map agreed through the Board and Boundary submission.]</w:t>
            </w:r>
          </w:p>
        </w:tc>
      </w:tr>
    </w:tbl>
    <w:p w14:paraId="6A05A809" w14:textId="77777777" w:rsidR="00F61F9A" w:rsidRDefault="00F61F9A">
      <w:pPr>
        <w:spacing w:after="0"/>
      </w:pPr>
    </w:p>
    <w:tbl>
      <w:tblPr>
        <w:tblW w:w="0" w:type="auto"/>
        <w:jc w:val="center"/>
        <w:tblLayout w:type="fixed"/>
        <w:tblLook w:val="04A0" w:firstRow="1" w:lastRow="0" w:firstColumn="1" w:lastColumn="0" w:noHBand="0" w:noVBand="1"/>
      </w:tblPr>
      <w:tblGrid>
        <w:gridCol w:w="9936"/>
      </w:tblGrid>
      <w:tr w:rsidR="00F61F9A" w14:paraId="5FA8D0A6" w14:textId="77777777">
        <w:trPr>
          <w:jc w:val="center"/>
        </w:trPr>
        <w:tc>
          <w:tcPr>
            <w:tcW w:w="9936" w:type="dxa"/>
            <w:shd w:val="clear" w:color="auto" w:fill="FFF2CC"/>
            <w:tcMar>
              <w:top w:w="140" w:type="dxa"/>
              <w:left w:w="160" w:type="dxa"/>
              <w:bottom w:w="140" w:type="dxa"/>
              <w:right w:w="160" w:type="dxa"/>
            </w:tcMar>
          </w:tcPr>
          <w:p w14:paraId="2CE35725" w14:textId="77777777" w:rsidR="00F61F9A" w:rsidRDefault="001150DF">
            <w:proofErr w:type="gramStart"/>
            <w:r>
              <w:rPr>
                <w:b/>
                <w:color w:val="1F4E79"/>
                <w:sz w:val="22"/>
              </w:rPr>
              <w:t>Place</w:t>
            </w:r>
            <w:proofErr w:type="gramEnd"/>
            <w:r>
              <w:rPr>
                <w:b/>
                <w:color w:val="1F4E79"/>
                <w:sz w:val="22"/>
              </w:rPr>
              <w:t xml:space="preserve"> evidence still required</w:t>
            </w:r>
            <w:r>
              <w:rPr>
                <w:b/>
                <w:color w:val="1F4E79"/>
                <w:sz w:val="22"/>
              </w:rPr>
              <w:br/>
            </w:r>
            <w:r>
              <w:t>[Information required: confirm the final public description of the area, population and key demographic facts using the approved boundary and data pack.]</w:t>
            </w:r>
          </w:p>
        </w:tc>
      </w:tr>
    </w:tbl>
    <w:p w14:paraId="5A39BBE3" w14:textId="77777777" w:rsidR="00F61F9A" w:rsidRDefault="00F61F9A">
      <w:pPr>
        <w:spacing w:after="0"/>
      </w:pPr>
    </w:p>
    <w:p w14:paraId="2B0F1AE7" w14:textId="77777777" w:rsidR="00F61F9A" w:rsidRDefault="001150DF">
      <w:pPr>
        <w:pStyle w:val="Heading1"/>
      </w:pPr>
      <w:r>
        <w:t>Section 3: Community Engagement</w:t>
      </w:r>
    </w:p>
    <w:p w14:paraId="30DD9E7B" w14:textId="77777777" w:rsidR="00F61F9A" w:rsidRDefault="001150DF">
      <w:r>
        <w:t>The programme has used a mix of digital, community-based and targeted engagement. The current evidence includes an online survey, paper questionnaires collected through local events and venues, and an engagement session with Paignton Academy students.</w:t>
      </w:r>
    </w:p>
    <w:tbl>
      <w:tblPr>
        <w:tblStyle w:val="TableGrid"/>
        <w:tblW w:w="0" w:type="auto"/>
        <w:jc w:val="center"/>
        <w:tblLayout w:type="fixed"/>
        <w:tblLook w:val="04A0" w:firstRow="1" w:lastRow="0" w:firstColumn="1" w:lastColumn="0" w:noHBand="0" w:noVBand="1"/>
      </w:tblPr>
      <w:tblGrid>
        <w:gridCol w:w="2880"/>
        <w:gridCol w:w="4608"/>
        <w:gridCol w:w="2880"/>
      </w:tblGrid>
      <w:tr w:rsidR="00F61F9A" w14:paraId="2742B7B7" w14:textId="77777777">
        <w:trPr>
          <w:tblHeader/>
          <w:jc w:val="center"/>
        </w:trPr>
        <w:tc>
          <w:tcPr>
            <w:tcW w:w="2880" w:type="dxa"/>
            <w:shd w:val="clear" w:color="auto" w:fill="1F4E79"/>
            <w:tcMar>
              <w:top w:w="90" w:type="dxa"/>
              <w:left w:w="100" w:type="dxa"/>
              <w:bottom w:w="90" w:type="dxa"/>
              <w:right w:w="100" w:type="dxa"/>
            </w:tcMar>
            <w:vAlign w:val="center"/>
          </w:tcPr>
          <w:p w14:paraId="4FF54B1A" w14:textId="77777777" w:rsidR="00F61F9A" w:rsidRDefault="001150DF">
            <w:pPr>
              <w:jc w:val="center"/>
            </w:pPr>
            <w:r>
              <w:rPr>
                <w:b/>
                <w:color w:val="FFFFFF"/>
                <w:sz w:val="17"/>
              </w:rPr>
              <w:t>Engagement strand</w:t>
            </w:r>
          </w:p>
        </w:tc>
        <w:tc>
          <w:tcPr>
            <w:tcW w:w="4608" w:type="dxa"/>
            <w:shd w:val="clear" w:color="auto" w:fill="1F4E79"/>
            <w:tcMar>
              <w:top w:w="90" w:type="dxa"/>
              <w:left w:w="100" w:type="dxa"/>
              <w:bottom w:w="90" w:type="dxa"/>
              <w:right w:w="100" w:type="dxa"/>
            </w:tcMar>
            <w:vAlign w:val="center"/>
          </w:tcPr>
          <w:p w14:paraId="0FAD28FA" w14:textId="77777777" w:rsidR="00F61F9A" w:rsidRDefault="001150DF">
            <w:pPr>
              <w:jc w:val="center"/>
            </w:pPr>
            <w:r>
              <w:rPr>
                <w:b/>
                <w:color w:val="FFFFFF"/>
                <w:sz w:val="17"/>
              </w:rPr>
              <w:t>Evidence currently available</w:t>
            </w:r>
          </w:p>
        </w:tc>
        <w:tc>
          <w:tcPr>
            <w:tcW w:w="2880" w:type="dxa"/>
            <w:shd w:val="clear" w:color="auto" w:fill="1F4E79"/>
            <w:tcMar>
              <w:top w:w="90" w:type="dxa"/>
              <w:left w:w="100" w:type="dxa"/>
              <w:bottom w:w="90" w:type="dxa"/>
              <w:right w:w="100" w:type="dxa"/>
            </w:tcMar>
            <w:vAlign w:val="center"/>
          </w:tcPr>
          <w:p w14:paraId="62B4A238" w14:textId="77777777" w:rsidR="00F61F9A" w:rsidRDefault="001150DF">
            <w:pPr>
              <w:jc w:val="center"/>
            </w:pPr>
            <w:proofErr w:type="gramStart"/>
            <w:r>
              <w:rPr>
                <w:b/>
                <w:color w:val="FFFFFF"/>
                <w:sz w:val="17"/>
              </w:rPr>
              <w:t>Current status</w:t>
            </w:r>
            <w:proofErr w:type="gramEnd"/>
          </w:p>
        </w:tc>
      </w:tr>
      <w:tr w:rsidR="00F61F9A" w14:paraId="0D20D2B3" w14:textId="77777777">
        <w:trPr>
          <w:jc w:val="center"/>
        </w:trPr>
        <w:tc>
          <w:tcPr>
            <w:tcW w:w="2880" w:type="dxa"/>
            <w:tcMar>
              <w:top w:w="90" w:type="dxa"/>
              <w:left w:w="100" w:type="dxa"/>
              <w:bottom w:w="90" w:type="dxa"/>
              <w:right w:w="100" w:type="dxa"/>
            </w:tcMar>
            <w:vAlign w:val="center"/>
          </w:tcPr>
          <w:p w14:paraId="34B29EBC" w14:textId="77777777" w:rsidR="00F61F9A" w:rsidRDefault="001150DF">
            <w:pPr>
              <w:jc w:val="center"/>
            </w:pPr>
            <w:r>
              <w:rPr>
                <w:sz w:val="17"/>
              </w:rPr>
              <w:t>Digital survey</w:t>
            </w:r>
          </w:p>
        </w:tc>
        <w:tc>
          <w:tcPr>
            <w:tcW w:w="4608" w:type="dxa"/>
            <w:tcMar>
              <w:top w:w="90" w:type="dxa"/>
              <w:left w:w="100" w:type="dxa"/>
              <w:bottom w:w="90" w:type="dxa"/>
              <w:right w:w="100" w:type="dxa"/>
            </w:tcMar>
            <w:vAlign w:val="center"/>
          </w:tcPr>
          <w:p w14:paraId="31BAD18D" w14:textId="77777777" w:rsidR="00F61F9A" w:rsidRDefault="001150DF">
            <w:r>
              <w:rPr>
                <w:sz w:val="17"/>
              </w:rPr>
              <w:t>296 valid, non-duplicate responses from 12 August to 30 September 2026.</w:t>
            </w:r>
          </w:p>
        </w:tc>
        <w:tc>
          <w:tcPr>
            <w:tcW w:w="2880" w:type="dxa"/>
            <w:tcMar>
              <w:top w:w="90" w:type="dxa"/>
              <w:left w:w="100" w:type="dxa"/>
              <w:bottom w:w="90" w:type="dxa"/>
              <w:right w:w="100" w:type="dxa"/>
            </w:tcMar>
            <w:vAlign w:val="center"/>
          </w:tcPr>
          <w:p w14:paraId="4BD12E6D" w14:textId="77777777" w:rsidR="00F61F9A" w:rsidRDefault="001150DF">
            <w:r>
              <w:rPr>
                <w:sz w:val="17"/>
              </w:rPr>
              <w:t>Verified for counts; thematic grouping remains indicative.</w:t>
            </w:r>
          </w:p>
        </w:tc>
      </w:tr>
      <w:tr w:rsidR="00F61F9A" w14:paraId="7E08C58A" w14:textId="77777777">
        <w:trPr>
          <w:jc w:val="center"/>
        </w:trPr>
        <w:tc>
          <w:tcPr>
            <w:tcW w:w="2880" w:type="dxa"/>
            <w:shd w:val="clear" w:color="auto" w:fill="F7F9FB"/>
            <w:tcMar>
              <w:top w:w="90" w:type="dxa"/>
              <w:left w:w="100" w:type="dxa"/>
              <w:bottom w:w="90" w:type="dxa"/>
              <w:right w:w="100" w:type="dxa"/>
            </w:tcMar>
            <w:vAlign w:val="center"/>
          </w:tcPr>
          <w:p w14:paraId="592B9963" w14:textId="77777777" w:rsidR="00F61F9A" w:rsidRDefault="001150DF">
            <w:r>
              <w:rPr>
                <w:sz w:val="17"/>
              </w:rPr>
              <w:t>Paper questionnaires</w:t>
            </w:r>
          </w:p>
        </w:tc>
        <w:tc>
          <w:tcPr>
            <w:tcW w:w="4608" w:type="dxa"/>
            <w:shd w:val="clear" w:color="auto" w:fill="F7F9FB"/>
            <w:tcMar>
              <w:top w:w="90" w:type="dxa"/>
              <w:left w:w="100" w:type="dxa"/>
              <w:bottom w:w="90" w:type="dxa"/>
              <w:right w:w="100" w:type="dxa"/>
            </w:tcMar>
            <w:vAlign w:val="center"/>
          </w:tcPr>
          <w:p w14:paraId="162975CC" w14:textId="77777777" w:rsidR="00F61F9A" w:rsidRDefault="001150DF">
            <w:r>
              <w:rPr>
                <w:sz w:val="17"/>
              </w:rPr>
              <w:t>158 questionnaire pairs across 20 PDF batches from eight named locations or events.</w:t>
            </w:r>
          </w:p>
        </w:tc>
        <w:tc>
          <w:tcPr>
            <w:tcW w:w="2880" w:type="dxa"/>
            <w:shd w:val="clear" w:color="auto" w:fill="F7F9FB"/>
            <w:tcMar>
              <w:top w:w="90" w:type="dxa"/>
              <w:left w:w="100" w:type="dxa"/>
              <w:bottom w:w="90" w:type="dxa"/>
              <w:right w:w="100" w:type="dxa"/>
            </w:tcMar>
            <w:vAlign w:val="center"/>
          </w:tcPr>
          <w:p w14:paraId="0B79A262" w14:textId="77777777" w:rsidR="00F61F9A" w:rsidRDefault="001150DF">
            <w:r>
              <w:rPr>
                <w:sz w:val="17"/>
              </w:rPr>
              <w:t>Initial OCR only; all rows need manual checking.</w:t>
            </w:r>
          </w:p>
        </w:tc>
      </w:tr>
      <w:tr w:rsidR="00F61F9A" w14:paraId="778BD35E" w14:textId="77777777">
        <w:trPr>
          <w:jc w:val="center"/>
        </w:trPr>
        <w:tc>
          <w:tcPr>
            <w:tcW w:w="2880" w:type="dxa"/>
            <w:tcMar>
              <w:top w:w="90" w:type="dxa"/>
              <w:left w:w="100" w:type="dxa"/>
              <w:bottom w:w="90" w:type="dxa"/>
              <w:right w:w="100" w:type="dxa"/>
            </w:tcMar>
            <w:vAlign w:val="center"/>
          </w:tcPr>
          <w:p w14:paraId="39A31F93" w14:textId="77777777" w:rsidR="00F61F9A" w:rsidRDefault="001150DF">
            <w:pPr>
              <w:jc w:val="center"/>
            </w:pPr>
            <w:r>
              <w:rPr>
                <w:sz w:val="17"/>
              </w:rPr>
              <w:t>Paignton Academy</w:t>
            </w:r>
          </w:p>
        </w:tc>
        <w:tc>
          <w:tcPr>
            <w:tcW w:w="4608" w:type="dxa"/>
            <w:tcMar>
              <w:top w:w="90" w:type="dxa"/>
              <w:left w:w="100" w:type="dxa"/>
              <w:bottom w:w="90" w:type="dxa"/>
              <w:right w:w="100" w:type="dxa"/>
            </w:tcMar>
            <w:vAlign w:val="center"/>
          </w:tcPr>
          <w:p w14:paraId="60253446" w14:textId="77777777" w:rsidR="00F61F9A" w:rsidRDefault="001150DF">
            <w:r>
              <w:rPr>
                <w:sz w:val="17"/>
              </w:rPr>
              <w:t>11 students aged 13 to 15; 3 from within the programme boundary.</w:t>
            </w:r>
          </w:p>
        </w:tc>
        <w:tc>
          <w:tcPr>
            <w:tcW w:w="2880" w:type="dxa"/>
            <w:tcMar>
              <w:top w:w="90" w:type="dxa"/>
              <w:left w:w="100" w:type="dxa"/>
              <w:bottom w:w="90" w:type="dxa"/>
              <w:right w:w="100" w:type="dxa"/>
            </w:tcMar>
            <w:vAlign w:val="center"/>
          </w:tcPr>
          <w:p w14:paraId="549CB8FF" w14:textId="77777777" w:rsidR="00F61F9A" w:rsidRDefault="001150DF">
            <w:r>
              <w:rPr>
                <w:sz w:val="17"/>
              </w:rPr>
              <w:t>Verified session note; targeted small group.</w:t>
            </w:r>
          </w:p>
        </w:tc>
      </w:tr>
    </w:tbl>
    <w:p w14:paraId="41C8F396" w14:textId="77777777" w:rsidR="00F61F9A" w:rsidRDefault="00F61F9A">
      <w:pPr>
        <w:spacing w:after="0"/>
      </w:pPr>
    </w:p>
    <w:p w14:paraId="03E96334" w14:textId="77777777" w:rsidR="00F61F9A" w:rsidRDefault="001150DF">
      <w:r>
        <w:t>Paper engagement took place through Berry Acres, Collaton St Mary, Crafty Fox, Foxhole Community Centre, Great Parks Community Centre, the Lidl Estate / White Rock, Old Farm Surgery and Pennine Pop. This helped bring engagement into neighbourhood settings and trusted local venues.</w:t>
      </w:r>
    </w:p>
    <w:p w14:paraId="29F22415" w14:textId="77777777" w:rsidR="00F61F9A" w:rsidRDefault="001150DF">
      <w:r>
        <w:t xml:space="preserve">The digital profile shows strong participation from residents aged 45 and over. Younger people are less well represented in </w:t>
      </w:r>
      <w:proofErr w:type="gramStart"/>
      <w:r>
        <w:t>the online</w:t>
      </w:r>
      <w:proofErr w:type="gramEnd"/>
      <w:r>
        <w:t xml:space="preserve"> data. The Academy session gives useful detail, but further engagement with a wider range of young people is needed. The current sources also give an incomplete picture of disability, ethnicity, household type and income.</w:t>
      </w:r>
    </w:p>
    <w:p w14:paraId="57159E28" w14:textId="77777777" w:rsidR="00F61F9A" w:rsidRDefault="001150DF">
      <w:pPr>
        <w:pStyle w:val="Heading2"/>
      </w:pPr>
      <w:r>
        <w:t>Key themes emerging</w:t>
      </w:r>
    </w:p>
    <w:p w14:paraId="10534040" w14:textId="77777777" w:rsidR="00F61F9A" w:rsidRDefault="50C6993F" w:rsidP="50C6993F">
      <w:pPr>
        <w:pStyle w:val="ListBullet"/>
        <w:rPr>
          <w:b/>
          <w:bCs/>
        </w:rPr>
      </w:pPr>
      <w:r w:rsidRPr="50C6993F">
        <w:rPr>
          <w:b/>
          <w:bCs/>
        </w:rPr>
        <w:t>activities and safe places for children and young people;</w:t>
      </w:r>
    </w:p>
    <w:p w14:paraId="1983CA8D" w14:textId="77777777" w:rsidR="00F61F9A" w:rsidRDefault="50C6993F" w:rsidP="50C6993F">
      <w:pPr>
        <w:pStyle w:val="ListBullet"/>
        <w:rPr>
          <w:b/>
          <w:bCs/>
        </w:rPr>
      </w:pPr>
      <w:r w:rsidRPr="50C6993F">
        <w:rPr>
          <w:b/>
          <w:bCs/>
        </w:rPr>
        <w:t>safety and action on antisocial behaviour;</w:t>
      </w:r>
    </w:p>
    <w:p w14:paraId="0B49848F" w14:textId="77777777" w:rsidR="00F61F9A" w:rsidRDefault="50C6993F" w:rsidP="50C6993F">
      <w:pPr>
        <w:pStyle w:val="ListBullet"/>
        <w:rPr>
          <w:b/>
          <w:bCs/>
        </w:rPr>
      </w:pPr>
      <w:r w:rsidRPr="50C6993F">
        <w:rPr>
          <w:b/>
          <w:bCs/>
        </w:rPr>
        <w:t>cleaner and better maintained streets and public spaces;</w:t>
      </w:r>
    </w:p>
    <w:p w14:paraId="042AFE72" w14:textId="77777777" w:rsidR="00F61F9A" w:rsidRDefault="50C6993F" w:rsidP="50C6993F">
      <w:pPr>
        <w:pStyle w:val="ListBullet"/>
        <w:rPr>
          <w:b/>
          <w:bCs/>
        </w:rPr>
      </w:pPr>
      <w:r w:rsidRPr="50C6993F">
        <w:rPr>
          <w:b/>
          <w:bCs/>
        </w:rPr>
        <w:t>better transport, road safety, walking, cycling and accessibility;</w:t>
      </w:r>
    </w:p>
    <w:p w14:paraId="54378C49" w14:textId="77777777" w:rsidR="00F61F9A" w:rsidRDefault="50C6993F" w:rsidP="50C6993F">
      <w:pPr>
        <w:pStyle w:val="ListBullet"/>
        <w:rPr>
          <w:b/>
          <w:bCs/>
        </w:rPr>
      </w:pPr>
      <w:r w:rsidRPr="50C6993F">
        <w:rPr>
          <w:b/>
          <w:bCs/>
        </w:rPr>
        <w:t>improved parks, play, sport and protection of green space;</w:t>
      </w:r>
    </w:p>
    <w:p w14:paraId="14F77C80" w14:textId="77777777" w:rsidR="00F61F9A" w:rsidRDefault="50C6993F" w:rsidP="50C6993F">
      <w:pPr>
        <w:pStyle w:val="ListBullet"/>
        <w:rPr>
          <w:b/>
          <w:bCs/>
        </w:rPr>
      </w:pPr>
      <w:r w:rsidRPr="50C6993F">
        <w:rPr>
          <w:b/>
          <w:bCs/>
        </w:rPr>
        <w:t>community hubs, connection and reduced isolation; and</w:t>
      </w:r>
    </w:p>
    <w:p w14:paraId="18CAA03F" w14:textId="77777777" w:rsidR="00F61F9A" w:rsidRDefault="50C6993F" w:rsidP="50C6993F">
      <w:pPr>
        <w:pStyle w:val="ListBullet"/>
        <w:rPr>
          <w:b/>
          <w:bCs/>
        </w:rPr>
      </w:pPr>
      <w:r w:rsidRPr="50C6993F">
        <w:rPr>
          <w:b/>
          <w:bCs/>
        </w:rPr>
        <w:t>better access to opportunities, shops, skills, health and everyday services.</w:t>
      </w:r>
    </w:p>
    <w:p w14:paraId="5872386A" w14:textId="77777777" w:rsidR="00F61F9A" w:rsidRDefault="001150DF">
      <w:r>
        <w:t>These themes are emerging evidence, not agreed priorities. The Board should test them with communities, including groups currently under-represented, and explain how views influence decisions.</w:t>
      </w:r>
    </w:p>
    <w:tbl>
      <w:tblPr>
        <w:tblW w:w="0" w:type="auto"/>
        <w:jc w:val="center"/>
        <w:tblLayout w:type="fixed"/>
        <w:tblLook w:val="04A0" w:firstRow="1" w:lastRow="0" w:firstColumn="1" w:lastColumn="0" w:noHBand="0" w:noVBand="1"/>
      </w:tblPr>
      <w:tblGrid>
        <w:gridCol w:w="9936"/>
      </w:tblGrid>
      <w:tr w:rsidR="00F61F9A" w14:paraId="197BE077" w14:textId="77777777" w:rsidTr="50C6993F">
        <w:trPr>
          <w:jc w:val="center"/>
        </w:trPr>
        <w:tc>
          <w:tcPr>
            <w:tcW w:w="9936" w:type="dxa"/>
            <w:shd w:val="clear" w:color="auto" w:fill="FFF2CC"/>
            <w:tcMar>
              <w:top w:w="140" w:type="dxa"/>
              <w:left w:w="160" w:type="dxa"/>
              <w:bottom w:w="140" w:type="dxa"/>
              <w:right w:w="160" w:type="dxa"/>
            </w:tcMar>
          </w:tcPr>
          <w:p w14:paraId="0C4304DB" w14:textId="188C0188" w:rsidR="00F61F9A" w:rsidRDefault="50C6993F">
            <w:r w:rsidRPr="50C6993F">
              <w:rPr>
                <w:b/>
                <w:bCs/>
                <w:color w:val="1F4E79"/>
                <w:sz w:val="22"/>
              </w:rPr>
              <w:t>Engagement evidence required</w:t>
            </w:r>
            <w:r w:rsidR="001150DF">
              <w:br/>
            </w:r>
            <w:r>
              <w:t>[Information required: add any engagement undertaken after 30 September 2026; confirm reach to seldom-heard groups; and validate the handwritten paper responses before submission.]</w:t>
            </w:r>
          </w:p>
        </w:tc>
      </w:tr>
    </w:tbl>
    <w:p w14:paraId="72A3D3EC" w14:textId="77777777" w:rsidR="00F61F9A" w:rsidRDefault="00F61F9A">
      <w:pPr>
        <w:spacing w:after="0"/>
      </w:pPr>
    </w:p>
    <w:p w14:paraId="4B642F44" w14:textId="77777777" w:rsidR="00F61F9A" w:rsidRDefault="001150DF">
      <w:pPr>
        <w:pStyle w:val="Heading1"/>
      </w:pPr>
      <w:r>
        <w:t>Section 4: What We Learned</w:t>
      </w:r>
    </w:p>
    <w:p w14:paraId="7C6CAED3" w14:textId="77777777" w:rsidR="00F61F9A" w:rsidRDefault="001150DF">
      <w:pPr>
        <w:pStyle w:val="Heading2"/>
      </w:pPr>
      <w:r>
        <w:t>Shared strengths</w:t>
      </w:r>
    </w:p>
    <w:p w14:paraId="45C6A827" w14:textId="77777777" w:rsidR="00F61F9A" w:rsidRDefault="001150DF">
      <w:r>
        <w:t>Residents describe strong community spirit, friendly neighbours, committed volunteers and valued community organisations. They value coast and countryside, green space, wildlife, schools, local shops and facilities. These are foundations for change. They offer places, relationships and local knowledge that can support delivery.</w:t>
      </w:r>
    </w:p>
    <w:p w14:paraId="5FD85FC0" w14:textId="77777777" w:rsidR="00F61F9A" w:rsidRDefault="001150DF">
      <w:pPr>
        <w:pStyle w:val="Heading2"/>
      </w:pPr>
      <w:r>
        <w:t>Shared challenges</w:t>
      </w:r>
    </w:p>
    <w:p w14:paraId="014D3079" w14:textId="77777777" w:rsidR="00F61F9A" w:rsidRDefault="001150DF">
      <w:r>
        <w:t>Many residents want everyday surroundings to feel safer and better cared for. Concerns include litter, fly-tipping, dog fouling, weeds, poor roads and pavements, antisocial behaviour, drugs and intimidating behaviour. People often connect the physical condition of a place with whether it feels respected and safe.</w:t>
      </w:r>
    </w:p>
    <w:p w14:paraId="6AFCC791" w14:textId="77777777" w:rsidR="00F61F9A" w:rsidRDefault="001150DF">
      <w:r>
        <w:t>Children and young people are a major concern across the evidence. Residents ask for safe spaces, youth clubs, play, affordable sport, skate and bike facilities, music and positive activities. Young people themselves also raise lighting, transport, accessible facilities and opportunities that feel relevant to them.</w:t>
      </w:r>
    </w:p>
    <w:p w14:paraId="22C473A4" w14:textId="77777777" w:rsidR="00F61F9A" w:rsidRDefault="001150DF">
      <w:r>
        <w:t>Movement and access are another strong theme. The issues vary by place but include bus routes and frequency, traffic on Kings Ash Road, speeding, crossings in Collaton St Mary, parking, narrow or uneven paths, cycling links and wheelchair access. Some solutions may require highways, transport providers, developers or other partners rather than Pride in Place funding alone.</w:t>
      </w:r>
    </w:p>
    <w:p w14:paraId="71E1E638" w14:textId="77777777" w:rsidR="00F61F9A" w:rsidRDefault="001150DF">
      <w:pPr>
        <w:pStyle w:val="Heading2"/>
      </w:pPr>
      <w:r>
        <w:t>Different needs in different places</w:t>
      </w:r>
    </w:p>
    <w:p w14:paraId="17A154B5" w14:textId="77777777" w:rsidR="00F61F9A" w:rsidRDefault="001150DF">
      <w:r>
        <w:t>The emerging evidence does not support a single solution for the whole area. Foxhole and Great Parks responses emphasise youth provision, safety, maintenance, transport and strengthening community facilities. Collaton St Mary responses place greater emphasis on village identity, green space, traffic, infrastructure and a community hub. White Rock and Berry Acres also describe limited community or play provision alongside safety and access concerns.</w:t>
      </w:r>
    </w:p>
    <w:p w14:paraId="353B9EC7" w14:textId="77777777" w:rsidR="00F61F9A" w:rsidRDefault="001150DF">
      <w:pPr>
        <w:pStyle w:val="Heading2"/>
      </w:pPr>
      <w:r>
        <w:t>Opportunities</w:t>
      </w:r>
    </w:p>
    <w:p w14:paraId="7129EEF9" w14:textId="77777777" w:rsidR="00F61F9A" w:rsidRDefault="50C6993F">
      <w:r>
        <w:t>The ten-year programme creates an opportunity to combine visible early improvements with longer-term change. Existing community organisations can help reach residents and deliver activity. Children and young people can help design provision rather than simply being consulted about finished ideas. Public, voluntary and business partners can help address issues that sit beyond the programme’s direct control.</w:t>
      </w:r>
    </w:p>
    <w:p w14:paraId="0D0B940D" w14:textId="77777777" w:rsidR="00F61F9A" w:rsidRDefault="00F61F9A">
      <w:pPr>
        <w:spacing w:after="0"/>
      </w:pPr>
    </w:p>
    <w:p w14:paraId="7011E0AA" w14:textId="77777777" w:rsidR="00F61F9A" w:rsidRDefault="001150DF">
      <w:pPr>
        <w:pStyle w:val="Heading1"/>
      </w:pPr>
      <w:r>
        <w:t>Section 5: Priorities for Change</w:t>
      </w:r>
    </w:p>
    <w:tbl>
      <w:tblPr>
        <w:tblW w:w="0" w:type="auto"/>
        <w:jc w:val="center"/>
        <w:tblLayout w:type="fixed"/>
        <w:tblLook w:val="04A0" w:firstRow="1" w:lastRow="0" w:firstColumn="1" w:lastColumn="0" w:noHBand="0" w:noVBand="1"/>
      </w:tblPr>
      <w:tblGrid>
        <w:gridCol w:w="9936"/>
      </w:tblGrid>
      <w:tr w:rsidR="00F61F9A" w14:paraId="22EFA533" w14:textId="77777777">
        <w:trPr>
          <w:jc w:val="center"/>
        </w:trPr>
        <w:tc>
          <w:tcPr>
            <w:tcW w:w="9936" w:type="dxa"/>
            <w:shd w:val="clear" w:color="auto" w:fill="DDEBF7"/>
            <w:tcMar>
              <w:top w:w="140" w:type="dxa"/>
              <w:left w:w="160" w:type="dxa"/>
              <w:bottom w:w="140" w:type="dxa"/>
              <w:right w:w="160" w:type="dxa"/>
            </w:tcMar>
          </w:tcPr>
          <w:p w14:paraId="61337DD0" w14:textId="77777777" w:rsidR="00F61F9A" w:rsidRDefault="001150DF">
            <w:r>
              <w:rPr>
                <w:b/>
                <w:color w:val="1F4E79"/>
                <w:sz w:val="22"/>
              </w:rPr>
              <w:t>Draft priorities for Board and community testing</w:t>
            </w:r>
            <w:r>
              <w:rPr>
                <w:b/>
                <w:color w:val="1F4E79"/>
                <w:sz w:val="22"/>
              </w:rPr>
              <w:br/>
            </w:r>
            <w:r>
              <w:t>The five themes below are proposed as a practical basis for the next stage of discussion. They are not agreed priorities, approved projects or funding commitments.</w:t>
            </w:r>
          </w:p>
        </w:tc>
      </w:tr>
    </w:tbl>
    <w:p w14:paraId="0E27B00A" w14:textId="77777777" w:rsidR="00F61F9A" w:rsidRDefault="00F61F9A">
      <w:pPr>
        <w:spacing w:after="0"/>
      </w:pPr>
    </w:p>
    <w:p w14:paraId="2C4A2DE7" w14:textId="77777777" w:rsidR="00F61F9A" w:rsidRDefault="001150DF">
      <w:pPr>
        <w:pStyle w:val="Heading2"/>
      </w:pPr>
      <w:r>
        <w:lastRenderedPageBreak/>
        <w:t>Draft priority 1: Children and young people can thrive</w:t>
      </w:r>
    </w:p>
    <w:p w14:paraId="1331EB0B" w14:textId="77777777" w:rsidR="00F61F9A" w:rsidRDefault="001150DF">
      <w:r>
        <w:rPr>
          <w:b/>
        </w:rPr>
        <w:t xml:space="preserve">Why it matters and how residents shaped it. </w:t>
      </w:r>
      <w:r>
        <w:t>Residents across all three engagement strands ask for safe, affordable and interesting places for children and young people. The challenge is not only a lack of facilities. It is also about belonging, aspiration, safety and positive relationships.</w:t>
      </w:r>
    </w:p>
    <w:p w14:paraId="3F9795A9" w14:textId="77777777" w:rsidR="00F61F9A" w:rsidRDefault="001150DF">
      <w:r>
        <w:rPr>
          <w:b/>
        </w:rPr>
        <w:t xml:space="preserve">What success could feel like. </w:t>
      </w:r>
      <w:r>
        <w:t>Success could mean young people helping to design and run activities; accessible play and recreation close to home; affordable sport, music and creative opportunities; and fewer young people feeling they have nowhere to go.</w:t>
      </w:r>
    </w:p>
    <w:p w14:paraId="5FFA0F3F" w14:textId="77777777" w:rsidR="00F61F9A" w:rsidRDefault="001150DF">
      <w:r>
        <w:rPr>
          <w:b/>
        </w:rPr>
        <w:t xml:space="preserve">Possible approach for further development. </w:t>
      </w:r>
      <w:r>
        <w:t>Test demand and location with young people; strengthen youth work and outreach; improve play and multi-use spaces; explore sport, skate, bike, music and creative provision; build safeguarding, accessibility and long-term running costs into design.</w:t>
      </w:r>
    </w:p>
    <w:p w14:paraId="3FCE2C22" w14:textId="77777777" w:rsidR="00F61F9A" w:rsidRDefault="001150DF">
      <w:pPr>
        <w:pStyle w:val="Heading2"/>
      </w:pPr>
      <w:r>
        <w:t>Draft priority 2: Safe, clean and cared-for neighbourhoods</w:t>
      </w:r>
    </w:p>
    <w:p w14:paraId="14976B2E" w14:textId="77777777" w:rsidR="00F61F9A" w:rsidRDefault="001150DF">
      <w:r>
        <w:rPr>
          <w:b/>
        </w:rPr>
        <w:t xml:space="preserve">Why it matters and how residents shaped it. </w:t>
      </w:r>
      <w:r>
        <w:t>Residents connect safety with visible care. They raise antisocial behaviour, drugs, poor lighting, litter, fly-tipping, dog fouling, weeds, roads and pavements. Some actions require police, housing and council services, but Pride in Place may help coordinate effort and support visible improvements.</w:t>
      </w:r>
    </w:p>
    <w:p w14:paraId="2559733B" w14:textId="77777777" w:rsidR="00F61F9A" w:rsidRDefault="001150DF">
      <w:r>
        <w:rPr>
          <w:b/>
        </w:rPr>
        <w:t xml:space="preserve">What success could feel like. </w:t>
      </w:r>
      <w:r>
        <w:t>Success could mean public spaces that feel welcoming by day and after dark, quicker action on environmental problems, stronger resident involvement and better coordination between responsible organisations.</w:t>
      </w:r>
    </w:p>
    <w:p w14:paraId="7E728ECD" w14:textId="77777777" w:rsidR="00F61F9A" w:rsidRDefault="001150DF">
      <w:r>
        <w:rPr>
          <w:b/>
        </w:rPr>
        <w:t xml:space="preserve">Possible approach for further development. </w:t>
      </w:r>
      <w:r>
        <w:t>Identify local hotspots; agree partner action plans; test lighting and environmental improvements; support community clean-ups and stewardship; ensure capital changes include maintenance arrangements.</w:t>
      </w:r>
    </w:p>
    <w:p w14:paraId="7DA21B8B" w14:textId="77777777" w:rsidR="00F61F9A" w:rsidRDefault="001150DF">
      <w:pPr>
        <w:pStyle w:val="Heading2"/>
      </w:pPr>
      <w:r>
        <w:t>Draft priority 3: Connected communities and strong local places</w:t>
      </w:r>
    </w:p>
    <w:p w14:paraId="435D2927" w14:textId="77777777" w:rsidR="00F61F9A" w:rsidRDefault="001150DF">
      <w:r>
        <w:rPr>
          <w:b/>
        </w:rPr>
        <w:t xml:space="preserve">Why it matters and how residents shaped it. </w:t>
      </w:r>
      <w:r>
        <w:t>Some neighbourhoods have trusted centres and groups. Others say they lack a community heart. Residents want places to meet, activities for different ages, social connection and support close to home.</w:t>
      </w:r>
    </w:p>
    <w:p w14:paraId="4DFEFABE" w14:textId="77777777" w:rsidR="00F61F9A" w:rsidRDefault="001150DF">
      <w:r>
        <w:rPr>
          <w:b/>
        </w:rPr>
        <w:t xml:space="preserve">What success could feel like. </w:t>
      </w:r>
      <w:r>
        <w:t>Success could mean well-used, welcoming and financially sustainable community spaces; more local events and groups; reduced isolation; and stronger links between neighbourhoods and services.</w:t>
      </w:r>
    </w:p>
    <w:p w14:paraId="16EBC4CD" w14:textId="77777777" w:rsidR="00F61F9A" w:rsidRDefault="001150DF">
      <w:r>
        <w:rPr>
          <w:b/>
        </w:rPr>
        <w:t xml:space="preserve">Possible approach for further development. </w:t>
      </w:r>
      <w:r>
        <w:t>Map existing assets and gaps; improve or better use existing facilities; test the case for new or shared community space; support volunteering and local leadership; plan for revenue and staffing, not only buildings.</w:t>
      </w:r>
    </w:p>
    <w:p w14:paraId="412EE38F" w14:textId="77777777" w:rsidR="00F61F9A" w:rsidRDefault="001150DF">
      <w:pPr>
        <w:pStyle w:val="Heading2"/>
      </w:pPr>
      <w:r>
        <w:t>Draft priority 4: Better movement and access</w:t>
      </w:r>
    </w:p>
    <w:p w14:paraId="6EE65128" w14:textId="77777777" w:rsidR="00F61F9A" w:rsidRDefault="001150DF">
      <w:r>
        <w:rPr>
          <w:b/>
        </w:rPr>
        <w:t xml:space="preserve">Why it matters and how residents shaped it. </w:t>
      </w:r>
      <w:r>
        <w:t xml:space="preserve">Buses, traffic, speeding, crossings, parking, walking, cycling and disabled access recur across the evidence. The precise problem differs by neighbourhood, so solutions must be </w:t>
      </w:r>
      <w:proofErr w:type="gramStart"/>
      <w:r>
        <w:t>place-specific</w:t>
      </w:r>
      <w:proofErr w:type="gramEnd"/>
      <w:r>
        <w:t>.</w:t>
      </w:r>
    </w:p>
    <w:p w14:paraId="4E08D546" w14:textId="77777777" w:rsidR="00F61F9A" w:rsidRDefault="001150DF">
      <w:r>
        <w:rPr>
          <w:b/>
        </w:rPr>
        <w:t xml:space="preserve">What success could feel like. </w:t>
      </w:r>
      <w:r>
        <w:t>Success could mean safer crossings and routes, more reliable access to services, inclusive public space, and less isolation for people who do not drive or have limited mobility.</w:t>
      </w:r>
    </w:p>
    <w:p w14:paraId="04F7D262" w14:textId="77777777" w:rsidR="00F61F9A" w:rsidRDefault="001150DF">
      <w:r>
        <w:rPr>
          <w:b/>
        </w:rPr>
        <w:t xml:space="preserve">Possible approach for further development. </w:t>
      </w:r>
      <w:r>
        <w:t>Carry out access audits with residents; develop local transport and route priorities; work with highways and operators; improve seating, shelters and information; require inclusive design.</w:t>
      </w:r>
    </w:p>
    <w:p w14:paraId="74350983" w14:textId="77777777" w:rsidR="00F61F9A" w:rsidRDefault="001150DF">
      <w:pPr>
        <w:pStyle w:val="Heading2"/>
      </w:pPr>
      <w:r>
        <w:lastRenderedPageBreak/>
        <w:t>Draft priority 5: Green, active and opportunity-rich places</w:t>
      </w:r>
    </w:p>
    <w:p w14:paraId="15F1B221" w14:textId="77777777" w:rsidR="00F61F9A" w:rsidRDefault="001150DF">
      <w:r>
        <w:rPr>
          <w:b/>
        </w:rPr>
        <w:t xml:space="preserve">Why it matters and how residents shaped it. </w:t>
      </w:r>
      <w:r>
        <w:t>Residents value countryside, green space, parks, beaches and wildlife, while also asking for better recreation, shops, jobs, skills and services. The opportunity is to improve quality of life without losing local character.</w:t>
      </w:r>
    </w:p>
    <w:p w14:paraId="7EFC7344" w14:textId="77777777" w:rsidR="00F61F9A" w:rsidRDefault="001150DF">
      <w:r>
        <w:rPr>
          <w:b/>
        </w:rPr>
        <w:t xml:space="preserve">What success could feel like. </w:t>
      </w:r>
      <w:r>
        <w:t>Success could mean protected and better-used green spaces, improved parks and activity, stronger routes into skills and work, and local facilities that meet everyday needs.</w:t>
      </w:r>
    </w:p>
    <w:p w14:paraId="60061E4C" w14:textId="507C0BDD" w:rsidR="00F61F9A" w:rsidRDefault="50C6993F">
      <w:pPr>
        <w:spacing w:after="0"/>
      </w:pPr>
      <w:r w:rsidRPr="50C6993F">
        <w:rPr>
          <w:b/>
          <w:bCs/>
        </w:rPr>
        <w:t xml:space="preserve">Possible approach for further development. </w:t>
      </w:r>
      <w:r>
        <w:t>Improve parks and nature access; support community gardening and stewardship; connect activity to skills and employment; work with businesses and service partners; test local facility gaps and sustainable delivery models.</w:t>
      </w:r>
    </w:p>
    <w:p w14:paraId="2BBEE120" w14:textId="035EEECC" w:rsidR="50C6993F" w:rsidRDefault="50C6993F"/>
    <w:p w14:paraId="578BB763" w14:textId="77777777" w:rsidR="00F61F9A" w:rsidRDefault="001150DF">
      <w:pPr>
        <w:pStyle w:val="Heading1"/>
      </w:pPr>
      <w:r>
        <w:t xml:space="preserve">Section 6: Delivering </w:t>
      </w:r>
      <w:proofErr w:type="gramStart"/>
      <w:r>
        <w:t>the Vision</w:t>
      </w:r>
      <w:proofErr w:type="gramEnd"/>
      <w:r>
        <w:t xml:space="preserve"> Together</w:t>
      </w:r>
    </w:p>
    <w:p w14:paraId="57EAF8ED" w14:textId="77777777" w:rsidR="00F61F9A" w:rsidRDefault="001150DF">
      <w:pPr>
        <w:pStyle w:val="Heading2"/>
      </w:pPr>
      <w:r>
        <w:t>Community leadership and continuous improvement</w:t>
      </w:r>
    </w:p>
    <w:p w14:paraId="73A2479C" w14:textId="66595065" w:rsidR="00F61F9A" w:rsidRDefault="50C6993F">
      <w:r>
        <w:t xml:space="preserve">Residents should remain involved throughout the ten years, not only during plan preparation but through continuous engagement. The Board should use regular neighbourhood conversations, youth involvement, accessible digital routes and trusted community organisations to test progress and identify changes. Feedback should show what was heard, what the Board decided, what changed as a result and why some requests cannot be </w:t>
      </w:r>
      <w:proofErr w:type="gramStart"/>
      <w:r>
        <w:t>progressed</w:t>
      </w:r>
      <w:proofErr w:type="gramEnd"/>
      <w:r>
        <w:t>.</w:t>
      </w:r>
    </w:p>
    <w:p w14:paraId="124B4424" w14:textId="77777777" w:rsidR="00F61F9A" w:rsidRDefault="001150DF">
      <w:r>
        <w:t>The engagement evidence should be refreshed rather than treated as fixed. Progress reviews should consider outcomes for different neighbourhoods and groups, including young people and disabled residents. The Board should be prepared to adapt its approach when evidence, costs or community needs change.</w:t>
      </w:r>
    </w:p>
    <w:tbl>
      <w:tblPr>
        <w:tblW w:w="0" w:type="auto"/>
        <w:jc w:val="center"/>
        <w:tblLayout w:type="fixed"/>
        <w:tblLook w:val="04A0" w:firstRow="1" w:lastRow="0" w:firstColumn="1" w:lastColumn="0" w:noHBand="0" w:noVBand="1"/>
      </w:tblPr>
      <w:tblGrid>
        <w:gridCol w:w="9936"/>
      </w:tblGrid>
      <w:tr w:rsidR="00F61F9A" w14:paraId="6D4C1E3F" w14:textId="77777777">
        <w:trPr>
          <w:jc w:val="center"/>
        </w:trPr>
        <w:tc>
          <w:tcPr>
            <w:tcW w:w="9936" w:type="dxa"/>
            <w:shd w:val="clear" w:color="auto" w:fill="FFF2CC"/>
            <w:tcMar>
              <w:top w:w="140" w:type="dxa"/>
              <w:left w:w="160" w:type="dxa"/>
              <w:bottom w:w="140" w:type="dxa"/>
              <w:right w:w="160" w:type="dxa"/>
            </w:tcMar>
          </w:tcPr>
          <w:p w14:paraId="4023CAF2" w14:textId="77777777" w:rsidR="00F61F9A" w:rsidRDefault="001150DF">
            <w:r>
              <w:rPr>
                <w:b/>
                <w:color w:val="1F4E79"/>
                <w:sz w:val="22"/>
              </w:rPr>
              <w:t>Community-led delivery model</w:t>
            </w:r>
            <w:r>
              <w:rPr>
                <w:b/>
                <w:color w:val="1F4E79"/>
                <w:sz w:val="22"/>
              </w:rPr>
              <w:br/>
            </w:r>
            <w:r>
              <w:t>[Information required: describe the Board’s agreed approach to community-led delivery, local leadership capacity, ownership or stewardship of assets, and any future legal or organisational model.]</w:t>
            </w:r>
          </w:p>
        </w:tc>
      </w:tr>
    </w:tbl>
    <w:p w14:paraId="44EAFD9C" w14:textId="77777777" w:rsidR="00F61F9A" w:rsidRDefault="00F61F9A">
      <w:pPr>
        <w:spacing w:after="0"/>
      </w:pPr>
    </w:p>
    <w:p w14:paraId="2D1176DE" w14:textId="77777777" w:rsidR="00F61F9A" w:rsidRDefault="001150DF">
      <w:pPr>
        <w:pStyle w:val="Heading2"/>
      </w:pPr>
      <w:r>
        <w:t>Partnership Working</w:t>
      </w:r>
    </w:p>
    <w:p w14:paraId="35483546" w14:textId="77777777" w:rsidR="00F61F9A" w:rsidRDefault="001150DF">
      <w:r>
        <w:t>Many priorities require joint action. Community centres, schools, youth organisations, voluntary groups and local businesses can help design and deliver activity. Torbay Council, police, housing providers, health services, transport operators, highways partners and funders may be needed for issues outside the Board’s direct control.</w:t>
      </w:r>
    </w:p>
    <w:p w14:paraId="736B4457" w14:textId="77777777" w:rsidR="00F61F9A" w:rsidRDefault="001150DF">
      <w:r>
        <w:t xml:space="preserve">Partnership </w:t>
      </w:r>
      <w:proofErr w:type="gramStart"/>
      <w:r>
        <w:t>working</w:t>
      </w:r>
      <w:proofErr w:type="gramEnd"/>
      <w:r>
        <w:t xml:space="preserve"> should be practical and transparent. Each proposed intervention should identify the lead organisation, delivery partners, responsibilities, funding route, long-term running arrangements and the part residents will play.</w:t>
      </w:r>
    </w:p>
    <w:tbl>
      <w:tblPr>
        <w:tblW w:w="0" w:type="auto"/>
        <w:jc w:val="center"/>
        <w:tblLayout w:type="fixed"/>
        <w:tblLook w:val="04A0" w:firstRow="1" w:lastRow="0" w:firstColumn="1" w:lastColumn="0" w:noHBand="0" w:noVBand="1"/>
      </w:tblPr>
      <w:tblGrid>
        <w:gridCol w:w="9936"/>
      </w:tblGrid>
      <w:tr w:rsidR="00F61F9A" w14:paraId="3AA56D60" w14:textId="77777777">
        <w:trPr>
          <w:jc w:val="center"/>
        </w:trPr>
        <w:tc>
          <w:tcPr>
            <w:tcW w:w="9936" w:type="dxa"/>
            <w:shd w:val="clear" w:color="auto" w:fill="FFF2CC"/>
            <w:tcMar>
              <w:top w:w="140" w:type="dxa"/>
              <w:left w:w="160" w:type="dxa"/>
              <w:bottom w:w="140" w:type="dxa"/>
              <w:right w:w="160" w:type="dxa"/>
            </w:tcMar>
          </w:tcPr>
          <w:p w14:paraId="772E53C7" w14:textId="77777777" w:rsidR="00F61F9A" w:rsidRDefault="001150DF">
            <w:r>
              <w:rPr>
                <w:b/>
                <w:color w:val="1F4E79"/>
                <w:sz w:val="22"/>
              </w:rPr>
              <w:t>Partner commitments</w:t>
            </w:r>
            <w:r>
              <w:rPr>
                <w:b/>
                <w:color w:val="1F4E79"/>
                <w:sz w:val="22"/>
              </w:rPr>
              <w:br/>
            </w:r>
            <w:r>
              <w:t>[Information required: confirm the organisations consulted, their proposed roles, any commitments made, and the approach to working with the relevant combined authority arrangements if applicable.]</w:t>
            </w:r>
          </w:p>
        </w:tc>
      </w:tr>
    </w:tbl>
    <w:p w14:paraId="4B94D5A5" w14:textId="77777777" w:rsidR="00F61F9A" w:rsidRDefault="00F61F9A">
      <w:pPr>
        <w:spacing w:after="0"/>
      </w:pPr>
    </w:p>
    <w:p w14:paraId="37030DCC" w14:textId="77777777" w:rsidR="00F61F9A" w:rsidRDefault="001150DF">
      <w:pPr>
        <w:pStyle w:val="Heading2"/>
      </w:pPr>
      <w:r>
        <w:lastRenderedPageBreak/>
        <w:t>Governance, accountability, and decision-making</w:t>
      </w:r>
    </w:p>
    <w:p w14:paraId="723693E2" w14:textId="77777777" w:rsidR="00F61F9A" w:rsidRDefault="001150DF">
      <w:r>
        <w:t>The Paignton Place Leadership Board will need clear arrangements that distinguish community leadership from the accountable body’s legal, financial and assurance responsibilities. Decisions should be recorded and published in an accessible form, with conflicts of interest managed openly.</w:t>
      </w:r>
    </w:p>
    <w:p w14:paraId="178DF6DD" w14:textId="77777777" w:rsidR="00F61F9A" w:rsidRDefault="001150DF">
      <w:r>
        <w:t>Project selection should show a clear line from evidence to priority, priority to outcome, and outcome to proposed investment. Assessment should consider community support, benefit across neighbourhoods and groups, deliverability, value for money, ongoing costs, accessibility, environmental impact and risk.</w:t>
      </w:r>
    </w:p>
    <w:tbl>
      <w:tblPr>
        <w:tblW w:w="0" w:type="auto"/>
        <w:jc w:val="center"/>
        <w:tblLayout w:type="fixed"/>
        <w:tblLook w:val="04A0" w:firstRow="1" w:lastRow="0" w:firstColumn="1" w:lastColumn="0" w:noHBand="0" w:noVBand="1"/>
      </w:tblPr>
      <w:tblGrid>
        <w:gridCol w:w="9936"/>
      </w:tblGrid>
      <w:tr w:rsidR="00F61F9A" w14:paraId="7960C742" w14:textId="77777777">
        <w:trPr>
          <w:jc w:val="center"/>
        </w:trPr>
        <w:tc>
          <w:tcPr>
            <w:tcW w:w="9936" w:type="dxa"/>
            <w:shd w:val="clear" w:color="auto" w:fill="FFF2CC"/>
            <w:tcMar>
              <w:top w:w="140" w:type="dxa"/>
              <w:left w:w="160" w:type="dxa"/>
              <w:bottom w:w="140" w:type="dxa"/>
              <w:right w:w="160" w:type="dxa"/>
            </w:tcMar>
          </w:tcPr>
          <w:p w14:paraId="386AA7CD" w14:textId="77777777" w:rsidR="00F61F9A" w:rsidRDefault="001150DF">
            <w:r>
              <w:rPr>
                <w:b/>
                <w:color w:val="1F4E79"/>
                <w:sz w:val="22"/>
              </w:rPr>
              <w:t>Governance details required</w:t>
            </w:r>
            <w:r>
              <w:rPr>
                <w:b/>
                <w:color w:val="1F4E79"/>
                <w:sz w:val="22"/>
              </w:rPr>
              <w:br/>
            </w:r>
            <w:r>
              <w:t>[Information required: confirm Board membership and leadership; terms of reference; accountable body role; financial management and assurance; decision and voting arrangements; conflicts and dispensations; transparency and publication arrangements; project appraisal and selection process; delegated authority; monitoring; and escalation.]</w:t>
            </w:r>
          </w:p>
        </w:tc>
      </w:tr>
    </w:tbl>
    <w:p w14:paraId="3DEEC669" w14:textId="77777777" w:rsidR="00F61F9A" w:rsidRDefault="00F61F9A">
      <w:pPr>
        <w:spacing w:after="0"/>
      </w:pPr>
    </w:p>
    <w:p w14:paraId="1E0390AC" w14:textId="77777777" w:rsidR="00F61F9A" w:rsidRDefault="001150DF">
      <w:pPr>
        <w:pStyle w:val="Heading1"/>
      </w:pPr>
      <w:r>
        <w:t xml:space="preserve">Evidence and drafting </w:t>
      </w:r>
      <w:proofErr w:type="gramStart"/>
      <w:r>
        <w:t>note</w:t>
      </w:r>
      <w:proofErr w:type="gramEnd"/>
    </w:p>
    <w:p w14:paraId="5FC7C49E" w14:textId="77777777" w:rsidR="00F61F9A" w:rsidRDefault="001150DF">
      <w:r>
        <w:t xml:space="preserve">This </w:t>
      </w:r>
      <w:proofErr w:type="gramStart"/>
      <w:r>
        <w:t>working</w:t>
      </w:r>
      <w:proofErr w:type="gramEnd"/>
      <w:r>
        <w:t xml:space="preserve"> draft uses 296 valid, non-duplicate digital responses, the provisional OCR inventory of 158 paper questionnaire pairs across 20 PDFs, and the Paignton Academy note covering 11 students. The engagement strands are reported separately because participant </w:t>
      </w:r>
      <w:proofErr w:type="gramStart"/>
      <w:r>
        <w:t>overlap</w:t>
      </w:r>
      <w:proofErr w:type="gramEnd"/>
      <w:r>
        <w:t xml:space="preserve"> cannot be ruled out.</w:t>
      </w:r>
    </w:p>
    <w:p w14:paraId="0C4A37C7" w14:textId="77777777" w:rsidR="00F61F9A" w:rsidRDefault="50C6993F">
      <w:r>
        <w:t>The paper extraction is not a final transcription. Its read-me states that all rows require manual image review. No paper-based percentages or rankings have therefore been used. Personal contact information and identifiable allegations have been excluded. Sensitive comments have been represented only as neutral themes where relevant.</w:t>
      </w:r>
    </w:p>
    <w:p w14:paraId="3B37F7AB" w14:textId="2117704C" w:rsidR="00F61F9A" w:rsidRDefault="00F61F9A" w:rsidP="50C6993F">
      <w:pPr>
        <w:pStyle w:val="ListBullet"/>
        <w:numPr>
          <w:ilvl w:val="0"/>
          <w:numId w:val="0"/>
        </w:numPr>
      </w:pPr>
    </w:p>
    <w:sectPr w:rsidR="00F61F9A" w:rsidSect="00034616">
      <w:footerReference w:type="default" r:id="rId12"/>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F052" w14:textId="77777777" w:rsidR="00CF7AAE" w:rsidRDefault="00CF7AAE">
      <w:pPr>
        <w:spacing w:after="0" w:line="240" w:lineRule="auto"/>
      </w:pPr>
      <w:r>
        <w:separator/>
      </w:r>
    </w:p>
  </w:endnote>
  <w:endnote w:type="continuationSeparator" w:id="0">
    <w:p w14:paraId="1431D3EB" w14:textId="77777777" w:rsidR="00CF7AAE" w:rsidRDefault="00CF7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5995" w14:textId="77777777" w:rsidR="00F61F9A" w:rsidRDefault="001150DF">
    <w:pPr>
      <w:pStyle w:val="Smallnote"/>
    </w:pPr>
    <w:r>
      <w:t xml:space="preserve">Paignton Pride in </w:t>
    </w:r>
    <w:proofErr w:type="gramStart"/>
    <w:r>
      <w:t>Place  |</w:t>
    </w:r>
    <w:proofErr w:type="gramEnd"/>
    <w:r>
      <w:t xml:space="preserve">  Working </w:t>
    </w:r>
    <w:proofErr w:type="gramStart"/>
    <w:r>
      <w:t>draft  |</w:t>
    </w:r>
    <w:proofErr w:type="gramEnd"/>
    <w:r>
      <w:t xml:space="preserve">  30 September 2026</w:t>
    </w:r>
  </w:p>
  <w:p w14:paraId="67A7EE31" w14:textId="399911CA" w:rsidR="00F61F9A" w:rsidRDefault="001150DF">
    <w:pPr>
      <w:jc w:val="right"/>
    </w:pPr>
    <w:r>
      <w:t xml:space="preserve">Page </w:t>
    </w:r>
    <w:r>
      <w:fldChar w:fldCharType="begin"/>
    </w:r>
    <w:r>
      <w:instrText>PAGE</w:instrText>
    </w:r>
    <w:r>
      <w:fldChar w:fldCharType="separate"/>
    </w:r>
    <w:r w:rsidR="0003498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6A45" w14:textId="77777777" w:rsidR="00CF7AAE" w:rsidRDefault="00CF7AAE">
      <w:pPr>
        <w:spacing w:after="0" w:line="240" w:lineRule="auto"/>
      </w:pPr>
      <w:r>
        <w:separator/>
      </w:r>
    </w:p>
  </w:footnote>
  <w:footnote w:type="continuationSeparator" w:id="0">
    <w:p w14:paraId="623AEF07" w14:textId="77777777" w:rsidR="00CF7AAE" w:rsidRDefault="00CF7A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5247038">
    <w:abstractNumId w:val="8"/>
  </w:num>
  <w:num w:numId="2" w16cid:durableId="866337852">
    <w:abstractNumId w:val="6"/>
  </w:num>
  <w:num w:numId="3" w16cid:durableId="272246845">
    <w:abstractNumId w:val="5"/>
  </w:num>
  <w:num w:numId="4" w16cid:durableId="1229682948">
    <w:abstractNumId w:val="4"/>
  </w:num>
  <w:num w:numId="5" w16cid:durableId="302731762">
    <w:abstractNumId w:val="7"/>
  </w:num>
  <w:num w:numId="6" w16cid:durableId="963072177">
    <w:abstractNumId w:val="3"/>
  </w:num>
  <w:num w:numId="7" w16cid:durableId="1642154071">
    <w:abstractNumId w:val="2"/>
  </w:num>
  <w:num w:numId="8" w16cid:durableId="1770999509">
    <w:abstractNumId w:val="1"/>
  </w:num>
  <w:num w:numId="9" w16cid:durableId="1411073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98C"/>
    <w:rsid w:val="0006063C"/>
    <w:rsid w:val="000B1662"/>
    <w:rsid w:val="000E1F3B"/>
    <w:rsid w:val="001150DF"/>
    <w:rsid w:val="0015074B"/>
    <w:rsid w:val="0029639D"/>
    <w:rsid w:val="00326F90"/>
    <w:rsid w:val="0078653F"/>
    <w:rsid w:val="00866E0A"/>
    <w:rsid w:val="008A70F5"/>
    <w:rsid w:val="009A4881"/>
    <w:rsid w:val="00AA1D8D"/>
    <w:rsid w:val="00B47730"/>
    <w:rsid w:val="00B5007C"/>
    <w:rsid w:val="00C4686A"/>
    <w:rsid w:val="00CB0664"/>
    <w:rsid w:val="00CD445D"/>
    <w:rsid w:val="00CF7AAE"/>
    <w:rsid w:val="00D344AA"/>
    <w:rsid w:val="00DB7D97"/>
    <w:rsid w:val="00F61F9A"/>
    <w:rsid w:val="00FC693F"/>
    <w:rsid w:val="0201853C"/>
    <w:rsid w:val="119DC54F"/>
    <w:rsid w:val="1C3C1D49"/>
    <w:rsid w:val="37E02692"/>
    <w:rsid w:val="405FEC63"/>
    <w:rsid w:val="499F92DA"/>
    <w:rsid w:val="4D09F348"/>
    <w:rsid w:val="50C6993F"/>
    <w:rsid w:val="58A72859"/>
    <w:rsid w:val="5D96E297"/>
    <w:rsid w:val="77BF4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BA4601D-4282-4E16-9126-A5AB66490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8"/>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b/>
      <w:bCs/>
      <w:color w:val="2F75B5"/>
      <w:sz w:val="28"/>
      <w:szCs w:val="26"/>
    </w:rPr>
  </w:style>
  <w:style w:type="paragraph" w:styleId="Heading3">
    <w:name w:val="heading 3"/>
    <w:basedOn w:val="Normal"/>
    <w:next w:val="Normal"/>
    <w:link w:val="Heading3Char"/>
    <w:uiPriority w:val="9"/>
    <w:unhideWhenUsed/>
    <w:qFormat/>
    <w:rsid w:val="00FC693F"/>
    <w:pPr>
      <w:keepNext/>
      <w:keepLines/>
      <w:spacing w:before="80" w:after="1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666666"/>
      <w:sz w:val="17"/>
    </w:rPr>
  </w:style>
  <w:style w:type="paragraph" w:customStyle="1" w:styleId="Callout">
    <w:name w:val="Callout"/>
    <w:pPr>
      <w:spacing w:after="120"/>
      <w:ind w:left="216" w:right="216"/>
    </w:pPr>
    <w:rPr>
      <w:rFonts w:ascii="Aptos" w:hAnsi="Aptos"/>
      <w:b/>
      <w:color w:val="1F4E7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414D7F-CD02-43B4-B784-2CED1A9B6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72432E-CBF7-4DD9-A292-F9F52AF2A98F}">
  <ds:schemaRefs>
    <ds:schemaRef ds:uri="http://schemas.microsoft.com/sharepoint/v3/contenttype/forms"/>
  </ds:schemaRefs>
</ds:datastoreItem>
</file>

<file path=customXml/itemProps4.xml><?xml version="1.0" encoding="utf-8"?>
<ds:datastoreItem xmlns:ds="http://schemas.openxmlformats.org/officeDocument/2006/customXml" ds:itemID="{F5DC43A5-A3B3-43AA-8D2F-29220DFC1120}">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Paignton Pride in Place 10 Year Vision Working Draft</vt:lpstr>
    </vt:vector>
  </TitlesOfParts>
  <Manager/>
  <Company/>
  <LinksUpToDate>false</LinksUpToDate>
  <CharactersWithSpaces>15914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Pride in Place 10 Year Vision Working Draft</dc:title>
  <dc:subject/>
  <dc:creator>Hedge, Jon-Paul</dc:creator>
  <cp:keywords>Paignton Place Leadership Board; Paignton Pride in Place 10 Year Plan Draft; agenda</cp:keywords>
  <dc:description/>
  <cp:lastModifiedBy>Buckley, Teresa</cp:lastModifiedBy>
  <cp:revision>12</cp:revision>
  <dcterms:created xsi:type="dcterms:W3CDTF">2026-10-02T10:34:00Z</dcterms:created>
  <dcterms:modified xsi:type="dcterms:W3CDTF">2026-10-07T09:50:00Z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
  </property>
</Properties>
</file>